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both"/>
        <w:rPr>
          <w:rStyle w:val="Aucun"/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            </w:t>
      </w:r>
      <w:r>
        <w:rPr>
          <w:rStyle w:val="Aucun"/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>CHALLENGE DE LA BAIE D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 xml:space="preserve">AIGUES  MORTES DU 7SEPTEMBRE 2026 </w:t>
      </w:r>
    </w:p>
    <w:p>
      <w:pPr>
        <w:pStyle w:val="Par défaut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Par défaut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AVENANT 1</w:t>
      </w:r>
    </w:p>
    <w:p>
      <w:pPr>
        <w:pStyle w:val="Par défaut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Par défaut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Par défaut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 </w:t>
      </w:r>
    </w:p>
    <w:p>
      <w:pPr>
        <w:pStyle w:val="Par défaut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17. DEMANDES 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1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INSTRUCTION</w:t>
      </w:r>
    </w:p>
    <w:p>
      <w:pPr>
        <w:pStyle w:val="Par défaut"/>
        <w:suppressAutoHyphens w:val="1"/>
        <w:spacing w:before="0" w:line="240" w:lineRule="auto"/>
        <w:ind w:left="700" w:hanging="700"/>
        <w:jc w:val="both"/>
        <w:rPr>
          <w:rStyle w:val="Aucun"/>
          <w:rFonts w:ascii="Arial" w:cs="Arial" w:hAnsi="Arial" w:eastAsia="Arial"/>
          <w:i w:val="1"/>
          <w:iCs w:val="1"/>
          <w:sz w:val="36"/>
          <w:szCs w:val="36"/>
        </w:rPr>
      </w:pPr>
    </w:p>
    <w:p>
      <w:pPr>
        <w:pStyle w:val="Par défaut"/>
        <w:suppressAutoHyphens w:val="1"/>
        <w:spacing w:before="0" w:line="240" w:lineRule="auto"/>
        <w:ind w:left="700" w:hanging="700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17.2</w:t>
      </w:r>
      <w:r>
        <w:rPr>
          <w:rStyle w:val="Aucun"/>
          <w:rFonts w:ascii="Arial" w:hAnsi="Arial"/>
          <w:i w:val="1"/>
          <w:iCs w:val="1"/>
          <w:sz w:val="36"/>
          <w:szCs w:val="36"/>
          <w:rtl w:val="0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Les formulaires de demandes d</w:t>
      </w:r>
      <w:r>
        <w:rPr>
          <w:rFonts w:ascii="Arial" w:hAnsi="Arial" w:hint="default"/>
          <w:i w:val="1"/>
          <w:iCs w:val="1"/>
          <w:sz w:val="20"/>
          <w:szCs w:val="20"/>
          <w:rtl w:val="1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instruction sont disponibles au secr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tariat de la SNGRPC</w:t>
      </w:r>
    </w:p>
    <w:p>
      <w:pPr>
        <w:pStyle w:val="Par défaut"/>
        <w:suppressAutoHyphens w:val="1"/>
        <w:spacing w:before="0" w:line="240" w:lineRule="auto"/>
        <w:ind w:left="700" w:hanging="70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Par défaut"/>
        <w:suppressAutoHyphens w:val="1"/>
        <w:spacing w:before="0" w:line="240" w:lineRule="auto"/>
        <w:ind w:left="700" w:hanging="700"/>
        <w:jc w:val="both"/>
        <w:rPr>
          <w:rStyle w:val="Aucun"/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20"/>
          <w:szCs w:val="20"/>
          <w:rtl w:val="0"/>
          <w:lang w:val="fr-FR"/>
        </w:rPr>
        <w:t>Les formulaires de demandes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instruction peuvent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 xml:space="preserve">tre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galement  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charg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 en ligne sur le lien suivant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ff"/>
          <w:sz w:val="36"/>
          <w:szCs w:val="36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                   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instrText xml:space="preserve"> HYPERLINK "https://www.sngrpc.com/challenge-de-la-baie-daigues-mortes/"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https://www.sngrpc.com/challenge-de-la-baie-daigues-mortes/</w:t>
      </w:r>
      <w:r>
        <w:rPr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end" w:fldLock="0"/>
      </w:r>
    </w:p>
    <w:p>
      <w:pPr>
        <w:pStyle w:val="Par défau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                                      et 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pos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s sur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adresse mail de la SNGRPC 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                                                        </w:t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instrText xml:space="preserve"> HYPERLINK "mailto:contact@sngrpc.com"</w:instrText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en"/>
          <w:rFonts w:ascii="Times New Roman" w:hAnsi="Times New Roman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contact@sngrpc.com</w:t>
      </w:r>
      <w:r>
        <w:rPr>
          <w:rFonts w:ascii="Times New Roman" w:cs="Times New Roman" w:hAnsi="Times New Roman" w:eastAsia="Times New Roman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  <w:fldChar w:fldCharType="end" w:fldLock="0"/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                               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heure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envoi sera consid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e  comme heure de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p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ô</w:t>
      </w: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t 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>Le 6 septembre 2025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Jury 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Jl Saudrais 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:rtl w:val="0"/>
          <w:lang w:val="fr-FR"/>
          <w14:textFill>
            <w14:solidFill>
              <w14:srgbClr w14:val="0000FF"/>
            </w14:solidFill>
          </w14:textFill>
        </w:rPr>
        <w:t xml:space="preserve">    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sz w:val="22"/>
          <w:szCs w:val="22"/>
          <w:u w:color="0000ff"/>
          <w:shd w:val="clear" w:color="auto" w:fill="ffffff"/>
          <w14:textFill>
            <w14:solidFill>
              <w14:srgbClr w14:val="0000FF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